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B7A7ED">
      <w:pPr>
        <w:pStyle w:val="31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mc:AlternateContent>
        <mc:Choice Requires="wpsCustomData">
          <wpsCustomData:docfieldStart id="0" docfieldname="标题_1" hidden="0" print="1" readonly="0" index="1"/>
        </mc:Choice>
      </mc:AlternateContent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  <w:t>海外项目合规</w:t>
      </w:r>
      <w:r>
        <w:rPr>
          <w:rFonts w:hint="eastAsia" w:cs="方正小标宋简体"/>
          <w:b w:val="0"/>
          <w:bCs w:val="0"/>
          <w:sz w:val="44"/>
          <w:szCs w:val="44"/>
          <w:lang w:eastAsia="zh-CN"/>
        </w:rPr>
        <w:t>（</w:t>
      </w:r>
      <w:r>
        <w:rPr>
          <w:rFonts w:hint="eastAsia" w:cs="方正小标宋简体"/>
          <w:b w:val="0"/>
          <w:bCs w:val="0"/>
          <w:sz w:val="44"/>
          <w:szCs w:val="44"/>
          <w:lang w:val="en-US" w:eastAsia="zh-CN"/>
        </w:rPr>
        <w:t>风控</w:t>
      </w:r>
      <w:r>
        <w:rPr>
          <w:rFonts w:hint="eastAsia" w:cs="方正小标宋简体"/>
          <w:b w:val="0"/>
          <w:bCs w:val="0"/>
          <w:sz w:val="44"/>
          <w:szCs w:val="44"/>
          <w:lang w:eastAsia="zh-CN"/>
        </w:rPr>
        <w:t>）</w:t>
      </w:r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  <w:t>总监招聘要求</w:t>
      </w:r>
      <mc:AlternateContent>
        <mc:Choice Requires="wpsCustomData">
          <wpsCustomData:docfieldEnd id="0"/>
        </mc:Choice>
      </mc:AlternateContent>
    </w:p>
    <w:p w14:paraId="7B6A8511">
      <w:pPr>
        <w:pStyle w:val="19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</w:pPr>
    </w:p>
    <w:p w14:paraId="30BCFFFA">
      <w:pPr>
        <w:pStyle w:val="3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/>
        <w:textAlignment w:val="auto"/>
        <w:rPr>
          <w:rFonts w:eastAsia="黑体"/>
          <w:b w:val="0"/>
          <w:bCs w:val="0"/>
          <w:sz w:val="32"/>
          <w:szCs w:val="32"/>
        </w:rPr>
      </w:pPr>
      <w:r>
        <w:rPr>
          <w:rFonts w:hint="eastAsia" w:cs="黑体"/>
          <w:b w:val="0"/>
          <w:bCs w:val="0"/>
          <w:sz w:val="32"/>
          <w:szCs w:val="32"/>
          <w:lang w:eastAsia="zh-CN"/>
        </w:rPr>
        <w:t>一、</w:t>
      </w:r>
      <w:r>
        <w:rPr>
          <w:rFonts w:ascii="黑体" w:hAnsi="黑体" w:eastAsia="黑体" w:cs="黑体"/>
          <w:b w:val="0"/>
          <w:bCs w:val="0"/>
          <w:sz w:val="32"/>
          <w:szCs w:val="32"/>
        </w:rPr>
        <w:t>岗位基本信息</w:t>
      </w:r>
    </w:p>
    <w:tbl>
      <w:tblPr>
        <w:tblStyle w:val="49"/>
        <w:tblW w:w="5000" w:type="pct"/>
        <w:jc w:val="center"/>
        <w:tbl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single" w:color="4F81BD" w:themeColor="accent1" w:sz="8" w:space="0"/>
          <w:insideV w:val="single" w:color="4F81BD" w:themeColor="accent1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9"/>
        <w:gridCol w:w="7516"/>
      </w:tblGrid>
      <w:tr w14:paraId="34D9F645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0" w:type="pct"/>
          </w:tcPr>
          <w:p w14:paraId="461F7A6A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</w:pPr>
            <w:r>
              <w:rPr>
                <w:rFonts w:ascii="微软雅黑" w:hAnsi="微软雅黑" w:eastAsia="微软雅黑"/>
                <w:b/>
              </w:rPr>
              <w:t>岗位名称</w:t>
            </w:r>
          </w:p>
        </w:tc>
        <w:tc>
          <w:tcPr>
            <w:tcW w:w="4000" w:type="pct"/>
          </w:tcPr>
          <w:p w14:paraId="20F1F62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</w:pPr>
            <w:r>
              <w:rPr>
                <w:rFonts w:ascii="微软雅黑" w:hAnsi="微软雅黑" w:eastAsia="微软雅黑"/>
              </w:rPr>
              <w:t>项目合规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风控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ascii="微软雅黑" w:hAnsi="微软雅黑" w:eastAsia="微软雅黑"/>
              </w:rPr>
              <w:t>总监（海外项目）</w:t>
            </w:r>
          </w:p>
        </w:tc>
      </w:tr>
      <w:tr w14:paraId="1BC55A77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0" w:type="pct"/>
          </w:tcPr>
          <w:p w14:paraId="51BF1D67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</w:pPr>
            <w:r>
              <w:rPr>
                <w:rFonts w:ascii="微软雅黑" w:hAnsi="微软雅黑" w:eastAsia="微软雅黑"/>
                <w:b/>
              </w:rPr>
              <w:t>岗位编制</w:t>
            </w:r>
          </w:p>
        </w:tc>
        <w:tc>
          <w:tcPr>
            <w:tcW w:w="4000" w:type="pct"/>
          </w:tcPr>
          <w:p w14:paraId="6A0A71F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</w:pPr>
            <w:r>
              <w:rPr>
                <w:rFonts w:ascii="微软雅黑" w:hAnsi="微软雅黑" w:eastAsia="微软雅黑"/>
              </w:rPr>
              <w:t>重点</w:t>
            </w:r>
            <w:r>
              <w:rPr>
                <w:rFonts w:hint="eastAsia"/>
                <w:lang w:eastAsia="zh-CN"/>
              </w:rPr>
              <w:t>／</w:t>
            </w:r>
            <w:r>
              <w:rPr>
                <w:rFonts w:ascii="微软雅黑" w:hAnsi="微软雅黑" w:eastAsia="微软雅黑"/>
              </w:rPr>
              <w:t>大型</w:t>
            </w:r>
            <w:r>
              <w:rPr>
                <w:rFonts w:hint="eastAsia"/>
                <w:lang w:eastAsia="zh-CN"/>
              </w:rPr>
              <w:t>／</w:t>
            </w:r>
            <w:r>
              <w:rPr>
                <w:rFonts w:ascii="微软雅黑" w:hAnsi="微软雅黑" w:eastAsia="微软雅黑"/>
              </w:rPr>
              <w:t>高风险国别海外项目配置</w:t>
            </w:r>
            <w:r>
              <w:rPr>
                <w:rFonts w:hint="eastAsia"/>
                <w:lang w:val="en-US" w:eastAsia="zh-CN"/>
              </w:rPr>
              <w:t>4</w:t>
            </w:r>
            <w:r>
              <w:rPr>
                <w:rFonts w:ascii="微软雅黑" w:hAnsi="微软雅黑" w:eastAsia="微软雅黑"/>
              </w:rPr>
              <w:t>名</w:t>
            </w:r>
          </w:p>
        </w:tc>
      </w:tr>
      <w:tr w14:paraId="3629FE82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0" w:type="pct"/>
          </w:tcPr>
          <w:p w14:paraId="1F80986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</w:pPr>
            <w:r>
              <w:rPr>
                <w:rFonts w:ascii="微软雅黑" w:hAnsi="微软雅黑" w:eastAsia="微软雅黑"/>
                <w:b/>
              </w:rPr>
              <w:t>岗位定位</w:t>
            </w:r>
          </w:p>
        </w:tc>
        <w:tc>
          <w:tcPr>
            <w:tcW w:w="4000" w:type="pct"/>
          </w:tcPr>
          <w:p w14:paraId="3DA5D56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</w:pPr>
            <w:r>
              <w:rPr>
                <w:rFonts w:ascii="微软雅黑" w:hAnsi="微软雅黑" w:eastAsia="微软雅黑"/>
              </w:rPr>
              <w:t>项目合规管理核心执行岗，</w:t>
            </w:r>
            <w:r>
              <w:rPr>
                <w:rFonts w:hint="eastAsia"/>
                <w:lang w:val="en-US" w:eastAsia="zh-CN"/>
              </w:rPr>
              <w:t>由中铝国际直接委派</w:t>
            </w:r>
            <w:r>
              <w:rPr>
                <w:rFonts w:ascii="微软雅黑" w:hAnsi="微软雅黑" w:eastAsia="微软雅黑"/>
              </w:rPr>
              <w:t>，</w:t>
            </w:r>
            <w:r>
              <w:rPr>
                <w:rFonts w:hint="eastAsia"/>
                <w:lang w:val="en-US" w:eastAsia="zh-CN"/>
              </w:rPr>
              <w:t>在总部直接管理下，</w:t>
            </w:r>
            <w:r>
              <w:rPr>
                <w:rFonts w:ascii="微软雅黑" w:hAnsi="微软雅黑" w:eastAsia="微软雅黑"/>
              </w:rPr>
              <w:t>对项目全周期合规情况负</w:t>
            </w:r>
            <w:r>
              <w:rPr>
                <w:rFonts w:hint="eastAsia"/>
                <w:lang w:val="en-US" w:eastAsia="zh-CN"/>
              </w:rPr>
              <w:t>全面监管</w:t>
            </w:r>
            <w:r>
              <w:rPr>
                <w:rFonts w:ascii="微软雅黑" w:hAnsi="微软雅黑" w:eastAsia="微软雅黑"/>
              </w:rPr>
              <w:t>责任</w:t>
            </w:r>
          </w:p>
        </w:tc>
      </w:tr>
      <w:tr w14:paraId="1435089C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0" w:type="pct"/>
          </w:tcPr>
          <w:p w14:paraId="67486567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</w:pPr>
            <w:r>
              <w:rPr>
                <w:rFonts w:ascii="微软雅黑" w:hAnsi="微软雅黑" w:eastAsia="微软雅黑"/>
                <w:b/>
              </w:rPr>
              <w:t>工作地点</w:t>
            </w:r>
          </w:p>
        </w:tc>
        <w:tc>
          <w:tcPr>
            <w:tcW w:w="4000" w:type="pct"/>
          </w:tcPr>
          <w:p w14:paraId="6FDA4025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</w:pPr>
            <w:r>
              <w:rPr>
                <w:rFonts w:ascii="微软雅黑" w:hAnsi="微软雅黑" w:eastAsia="微软雅黑"/>
              </w:rPr>
              <w:t>海外项目现场（长期驻外）</w:t>
            </w:r>
          </w:p>
        </w:tc>
      </w:tr>
    </w:tbl>
    <w:p w14:paraId="6D8F4DB6">
      <w:pPr>
        <w:pStyle w:val="3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/>
        <w:textAlignment w:val="auto"/>
        <w:rPr>
          <w:rFonts w:eastAsia="黑体"/>
          <w:b w:val="0"/>
          <w:bCs w:val="0"/>
          <w:sz w:val="32"/>
          <w:szCs w:val="32"/>
        </w:rPr>
      </w:pPr>
      <w:r>
        <w:rPr>
          <w:rFonts w:hint="eastAsia" w:cs="黑体"/>
          <w:b w:val="0"/>
          <w:bCs w:val="0"/>
          <w:sz w:val="32"/>
          <w:szCs w:val="32"/>
          <w:lang w:eastAsia="zh-CN"/>
        </w:rPr>
        <w:t>二、</w:t>
      </w:r>
      <w:r>
        <w:rPr>
          <w:rFonts w:ascii="黑体" w:hAnsi="黑体" w:eastAsia="黑体" w:cs="黑体"/>
          <w:b w:val="0"/>
          <w:bCs w:val="0"/>
          <w:sz w:val="32"/>
          <w:szCs w:val="32"/>
        </w:rPr>
        <w:t>岗位职责</w:t>
      </w:r>
    </w:p>
    <w:p w14:paraId="01EEA9EA">
      <w:pPr>
        <w:pStyle w:val="19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项目合规总监主要职责如下：</w:t>
      </w:r>
    </w:p>
    <w:p w14:paraId="69C5C9E5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eastAsia="仿宋_GB2312"/>
          <w:b w:val="0"/>
          <w:sz w:val="32"/>
          <w:szCs w:val="32"/>
        </w:rPr>
      </w:pPr>
      <w:r>
        <w:rPr>
          <w:rStyle w:val="164"/>
          <w:rFonts w:hint="eastAsia" w:eastAsia="楷体_GB2312"/>
          <w:lang w:eastAsia="zh-CN"/>
        </w:rPr>
        <w:t>（一）</w:t>
      </w:r>
      <w:r>
        <w:rPr>
          <w:rStyle w:val="164"/>
        </w:rPr>
        <w:t>落实合规要求、建立风险清单</w:t>
      </w:r>
      <w:r>
        <w:rPr>
          <w:rFonts w:ascii="Times New Roman" w:hAnsi="Times New Roman" w:eastAsia="仿宋_GB2312" w:cs="仿宋_GB2312"/>
          <w:b/>
          <w:sz w:val="32"/>
          <w:szCs w:val="32"/>
        </w:rPr>
        <w:t>：</w:t>
      </w:r>
      <w:r>
        <w:rPr>
          <w:rFonts w:ascii="Times New Roman" w:hAnsi="Times New Roman" w:eastAsia="仿宋_GB2312" w:cs="仿宋_GB2312"/>
          <w:sz w:val="32"/>
          <w:szCs w:val="32"/>
        </w:rPr>
        <w:t>落实业主和上级合规管控要求，建立并动态维护本项目合规风险清单，监督项目部各部门严格依照东道国（属地）法律、业主要求及合同约定开展工作。</w:t>
      </w:r>
    </w:p>
    <w:p w14:paraId="3C2B0CBF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eastAsia="仿宋_GB2312"/>
          <w:b w:val="0"/>
          <w:sz w:val="32"/>
          <w:szCs w:val="32"/>
        </w:rPr>
      </w:pPr>
      <w:r>
        <w:rPr>
          <w:rStyle w:val="164"/>
          <w:rFonts w:hint="eastAsia" w:eastAsia="楷体_GB2312"/>
          <w:lang w:eastAsia="zh-CN"/>
        </w:rPr>
        <w:t>（二）</w:t>
      </w:r>
      <w:r>
        <w:rPr>
          <w:rStyle w:val="164"/>
        </w:rPr>
        <w:t>关键环节合规审核</w:t>
      </w:r>
      <w:r>
        <w:rPr>
          <w:rFonts w:ascii="Times New Roman" w:hAnsi="Times New Roman" w:eastAsia="仿宋_GB2312" w:cs="仿宋_GB2312"/>
          <w:b/>
          <w:sz w:val="32"/>
          <w:szCs w:val="32"/>
        </w:rPr>
        <w:t>：</w:t>
      </w:r>
      <w:r>
        <w:rPr>
          <w:rFonts w:ascii="Times New Roman" w:hAnsi="Times New Roman" w:eastAsia="仿宋_GB2312" w:cs="仿宋_GB2312"/>
          <w:sz w:val="32"/>
          <w:szCs w:val="32"/>
        </w:rPr>
        <w:t>对项目履约期间的采购、招标、分包、资金支付、合同变更等关键业务环节实施合规审核，出具合规审核意见并跟踪整改闭环。</w:t>
      </w:r>
    </w:p>
    <w:p w14:paraId="695C7342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eastAsia="仿宋_GB2312"/>
          <w:b w:val="0"/>
          <w:sz w:val="32"/>
          <w:szCs w:val="32"/>
        </w:rPr>
      </w:pPr>
      <w:r>
        <w:rPr>
          <w:rStyle w:val="164"/>
          <w:rFonts w:hint="eastAsia" w:eastAsia="楷体_GB2312"/>
          <w:lang w:eastAsia="zh-CN"/>
        </w:rPr>
        <w:t>（三）</w:t>
      </w:r>
      <w:r>
        <w:rPr>
          <w:rStyle w:val="164"/>
        </w:rPr>
        <w:t>国别与合同前置风险核查</w:t>
      </w:r>
      <w:r>
        <w:rPr>
          <w:rFonts w:ascii="Times New Roman" w:hAnsi="Times New Roman" w:eastAsia="仿宋_GB2312" w:cs="仿宋_GB2312"/>
          <w:b/>
          <w:sz w:val="32"/>
          <w:szCs w:val="32"/>
        </w:rPr>
        <w:t>：</w:t>
      </w:r>
      <w:r>
        <w:rPr>
          <w:rFonts w:ascii="Times New Roman" w:hAnsi="Times New Roman" w:eastAsia="仿宋_GB2312" w:cs="仿宋_GB2312"/>
          <w:sz w:val="32"/>
          <w:szCs w:val="32"/>
        </w:rPr>
        <w:t>牵头组织国别合规风险研判，对照《XX国家（地区）合规清单》《XX项目合同合规风险清单》，在项目准入、投标报价、合同谈判等前置节点逐项核查并留存记录。</w:t>
      </w:r>
    </w:p>
    <w:p w14:paraId="107C656A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eastAsia="仿宋_GB2312"/>
          <w:b w:val="0"/>
          <w:sz w:val="32"/>
          <w:szCs w:val="32"/>
        </w:rPr>
      </w:pPr>
      <w:r>
        <w:rPr>
          <w:rStyle w:val="164"/>
          <w:rFonts w:hint="eastAsia" w:eastAsia="楷体_GB2312"/>
          <w:lang w:eastAsia="zh-CN"/>
        </w:rPr>
        <w:t>（四）</w:t>
      </w:r>
      <w:r>
        <w:rPr>
          <w:rStyle w:val="164"/>
        </w:rPr>
        <w:t>合规培训与考核</w:t>
      </w:r>
      <w:r>
        <w:rPr>
          <w:rFonts w:ascii="Times New Roman" w:hAnsi="Times New Roman" w:eastAsia="仿宋_GB2312" w:cs="仿宋_GB2312"/>
          <w:b/>
          <w:sz w:val="32"/>
          <w:szCs w:val="32"/>
        </w:rPr>
        <w:t>：</w:t>
      </w:r>
      <w:r>
        <w:rPr>
          <w:rFonts w:ascii="Times New Roman" w:hAnsi="Times New Roman" w:eastAsia="仿宋_GB2312" w:cs="仿宋_GB2312"/>
          <w:sz w:val="32"/>
          <w:szCs w:val="32"/>
        </w:rPr>
        <w:t>定期组织项目部及合作方人员合规培训与考核，确保外派人员合规培训完成率100％，将合规要求精准传达至每位一线员工及合作方。</w:t>
      </w:r>
    </w:p>
    <w:p w14:paraId="48C90BB4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eastAsia="仿宋_GB2312"/>
          <w:b w:val="0"/>
          <w:sz w:val="32"/>
          <w:szCs w:val="32"/>
        </w:rPr>
      </w:pPr>
      <w:r>
        <w:rPr>
          <w:rStyle w:val="164"/>
          <w:rFonts w:hint="eastAsia" w:eastAsia="楷体_GB2312"/>
          <w:lang w:eastAsia="zh-CN"/>
        </w:rPr>
        <w:t>（</w:t>
      </w:r>
      <w:r>
        <w:rPr>
          <w:rStyle w:val="164"/>
          <w:rFonts w:hint="eastAsia" w:eastAsia="楷体_GB2312"/>
          <w:lang w:val="en-US" w:eastAsia="zh-CN"/>
        </w:rPr>
        <w:t>五</w:t>
      </w:r>
      <w:r>
        <w:rPr>
          <w:rStyle w:val="164"/>
          <w:rFonts w:hint="eastAsia" w:eastAsia="楷体_GB2312"/>
          <w:lang w:eastAsia="zh-CN"/>
        </w:rPr>
        <w:t>）</w:t>
      </w:r>
      <w:r>
        <w:rPr>
          <w:rStyle w:val="164"/>
        </w:rPr>
        <w:t>风险上报与应急处置</w:t>
      </w:r>
      <w:r>
        <w:rPr>
          <w:rFonts w:ascii="Times New Roman" w:hAnsi="Times New Roman" w:eastAsia="仿宋_GB2312" w:cs="仿宋_GB2312"/>
          <w:b/>
          <w:sz w:val="32"/>
          <w:szCs w:val="32"/>
        </w:rPr>
        <w:t>：</w:t>
      </w:r>
      <w:r>
        <w:rPr>
          <w:rFonts w:ascii="Times New Roman" w:hAnsi="Times New Roman" w:eastAsia="仿宋_GB2312" w:cs="仿宋_GB2312"/>
          <w:sz w:val="32"/>
          <w:szCs w:val="32"/>
        </w:rPr>
        <w:t>建立并动态维护项目合规管理台账，第一时间上报合规隐患、风险事件及违规线索；重大风险及时报告总部与所属企业并配合应急处置。</w:t>
      </w:r>
    </w:p>
    <w:p w14:paraId="517A474D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eastAsia="仿宋_GB2312"/>
          <w:b w:val="0"/>
          <w:sz w:val="32"/>
          <w:szCs w:val="32"/>
        </w:rPr>
      </w:pPr>
      <w:r>
        <w:rPr>
          <w:rStyle w:val="164"/>
          <w:rFonts w:hint="eastAsia" w:eastAsia="楷体_GB2312"/>
          <w:lang w:eastAsia="zh-CN"/>
        </w:rPr>
        <w:t>（</w:t>
      </w:r>
      <w:r>
        <w:rPr>
          <w:rStyle w:val="164"/>
          <w:rFonts w:hint="eastAsia" w:eastAsia="楷体_GB2312"/>
          <w:lang w:val="en-US" w:eastAsia="zh-CN"/>
        </w:rPr>
        <w:t>六</w:t>
      </w:r>
      <w:r>
        <w:rPr>
          <w:rStyle w:val="164"/>
          <w:rFonts w:hint="eastAsia" w:eastAsia="楷体_GB2312"/>
          <w:lang w:eastAsia="zh-CN"/>
        </w:rPr>
        <w:t>）</w:t>
      </w:r>
      <w:r>
        <w:rPr>
          <w:rStyle w:val="164"/>
        </w:rPr>
        <w:t>合作方延伸管控</w:t>
      </w:r>
      <w:r>
        <w:rPr>
          <w:rFonts w:ascii="Times New Roman" w:hAnsi="Times New Roman" w:eastAsia="仿宋_GB2312" w:cs="仿宋_GB2312"/>
          <w:b/>
          <w:sz w:val="32"/>
          <w:szCs w:val="32"/>
        </w:rPr>
        <w:t>：</w:t>
      </w:r>
      <w:r>
        <w:rPr>
          <w:rFonts w:ascii="Times New Roman" w:hAnsi="Times New Roman" w:eastAsia="仿宋_GB2312" w:cs="仿宋_GB2312"/>
          <w:sz w:val="32"/>
          <w:szCs w:val="32"/>
        </w:rPr>
        <w:t>对业主、联合体、分包商、供应商、代理、融资银行、保险／担保方等合作方开展合规延伸管控，督促其遵守反贿赂、出口管制与制裁、劳工、环保、数据等合规要求，落实合规承诺、筛查、黑名单与违约追责机制。</w:t>
      </w:r>
    </w:p>
    <w:p w14:paraId="7C2AC9B8">
      <w:pPr>
        <w:pStyle w:val="3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/>
        <w:textAlignment w:val="auto"/>
        <w:rPr>
          <w:rFonts w:eastAsia="黑体"/>
          <w:b w:val="0"/>
          <w:bCs w:val="0"/>
          <w:sz w:val="32"/>
          <w:szCs w:val="32"/>
        </w:rPr>
      </w:pPr>
      <w:r>
        <w:rPr>
          <w:rFonts w:hint="eastAsia" w:cs="黑体"/>
          <w:b w:val="0"/>
          <w:bCs w:val="0"/>
          <w:sz w:val="32"/>
          <w:szCs w:val="32"/>
          <w:lang w:eastAsia="zh-CN"/>
        </w:rPr>
        <w:t>三、</w:t>
      </w:r>
      <w:r>
        <w:rPr>
          <w:rFonts w:ascii="黑体" w:hAnsi="黑体" w:eastAsia="黑体" w:cs="黑体"/>
          <w:b w:val="0"/>
          <w:bCs w:val="0"/>
          <w:sz w:val="32"/>
          <w:szCs w:val="32"/>
        </w:rPr>
        <w:t>任职条件</w:t>
      </w:r>
    </w:p>
    <w:p w14:paraId="34423322">
      <w:pPr>
        <w:pStyle w:val="4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/>
        <w:textAlignment w:val="auto"/>
        <w:rPr>
          <w:rFonts w:hint="eastAsia" w:eastAsia="楷体_GB2312"/>
          <w:b w:val="0"/>
          <w:bCs w:val="0"/>
          <w:sz w:val="32"/>
          <w:szCs w:val="32"/>
        </w:rPr>
      </w:pPr>
      <w:r>
        <w:rPr>
          <w:rFonts w:hint="eastAsia" w:cs="楷体_GB2312"/>
          <w:b w:val="0"/>
          <w:bCs w:val="0"/>
          <w:sz w:val="32"/>
          <w:szCs w:val="32"/>
          <w:lang w:eastAsia="zh-CN"/>
        </w:rPr>
        <w:t>（一）</w:t>
      </w:r>
      <w:r>
        <w:rPr>
          <w:rFonts w:ascii="Times New Roman" w:hAnsi="Times New Roman" w:eastAsia="楷体_GB2312" w:cs="楷体_GB2312"/>
          <w:b w:val="0"/>
          <w:bCs w:val="0"/>
          <w:sz w:val="32"/>
          <w:szCs w:val="32"/>
        </w:rPr>
        <w:t>基本条件</w:t>
      </w:r>
    </w:p>
    <w:p w14:paraId="0F51E76D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eastAsia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政治素质过硬，遵纪守法，忠诚干净担当，无违法违规及不良合规记录；自觉认同并践行公司合规文化。</w:t>
      </w:r>
    </w:p>
    <w:p w14:paraId="19951B0B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eastAsia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责任心强，原则性强，具备独立履职意识，敢于对不合规事项提出否决意见。</w:t>
      </w:r>
    </w:p>
    <w:p w14:paraId="3C2373B7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eastAsia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身心健康，能适应海外项目长期驻外及高频出差。</w:t>
      </w:r>
    </w:p>
    <w:p w14:paraId="7E3F2520">
      <w:pPr>
        <w:pStyle w:val="4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/>
        <w:textAlignment w:val="auto"/>
        <w:rPr>
          <w:rFonts w:hint="eastAsia" w:eastAsia="楷体_GB2312"/>
          <w:b w:val="0"/>
          <w:bCs w:val="0"/>
          <w:sz w:val="32"/>
          <w:szCs w:val="32"/>
        </w:rPr>
      </w:pPr>
      <w:r>
        <w:rPr>
          <w:rFonts w:hint="eastAsia" w:cs="楷体_GB2312"/>
          <w:b w:val="0"/>
          <w:bCs w:val="0"/>
          <w:sz w:val="32"/>
          <w:szCs w:val="32"/>
          <w:lang w:eastAsia="zh-CN"/>
        </w:rPr>
        <w:t>（二）</w:t>
      </w:r>
      <w:r>
        <w:rPr>
          <w:rFonts w:ascii="Times New Roman" w:hAnsi="Times New Roman" w:eastAsia="楷体_GB2312" w:cs="楷体_GB2312"/>
          <w:b w:val="0"/>
          <w:bCs w:val="0"/>
          <w:sz w:val="32"/>
          <w:szCs w:val="32"/>
        </w:rPr>
        <w:t>学历与专业</w:t>
      </w:r>
    </w:p>
    <w:p w14:paraId="1B637DE3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16" w:leftChars="0"/>
        <w:textAlignment w:val="auto"/>
        <w:rPr>
          <w:rFonts w:eastAsia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大学本科及以上学历。</w:t>
      </w:r>
    </w:p>
    <w:p w14:paraId="7EF99342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92" w:firstLineChars="200"/>
        <w:textAlignment w:val="auto"/>
        <w:rPr>
          <w:rFonts w:eastAsia="仿宋_GB2312"/>
          <w:b w:val="0"/>
          <w:bCs w:val="0"/>
          <w:sz w:val="32"/>
          <w:szCs w:val="32"/>
        </w:rPr>
      </w:pPr>
      <w:r>
        <w:rPr>
          <w:rFonts w:hint="eastAsia" w:cs="仿宋_GB2312"/>
          <w:b w:val="0"/>
          <w:bCs w:val="0"/>
          <w:spacing wpsCustomData:val="7" w:val="13"/>
          <w:sz w:val="32"/>
          <w:szCs w:val="32"/>
          <w:lang w:val="en-US" w:eastAsia="zh-CN"/>
        </w:rPr>
        <w:t>法律</w:t>
      </w:r>
      <w:r>
        <w:rPr>
          <w:rFonts w:ascii="Times New Roman" w:hAnsi="Times New Roman" w:eastAsia="仿宋_GB2312" w:cs="仿宋_GB2312"/>
          <w:b w:val="0"/>
          <w:bCs w:val="0"/>
          <w:spacing wpsCustomData:val="7" w:val="13"/>
          <w:sz w:val="32"/>
          <w:szCs w:val="32"/>
        </w:rPr>
        <w:t>、财务管</w:t>
      </w:r>
      <w:r>
        <w:rPr>
          <w:rFonts w:ascii="Times New Roman" w:hAnsi="Times New Roman" w:eastAsia="仿宋_GB2312" w:cs="仿宋_GB2312"/>
          <w:b w:val="0"/>
          <w:bCs w:val="0"/>
          <w:spacing wpsCustomData:val="-6" w:val="7"/>
          <w:sz w:val="32"/>
          <w:szCs w:val="32"/>
        </w:rPr>
        <w:t>理、</w:t>
      </w:r>
      <w:r>
        <w:rPr>
          <w:rFonts w:ascii="Times New Roman" w:hAnsi="Times New Roman" w:eastAsia="仿宋_GB2312" w:cs="仿宋_GB2312"/>
          <w:b w:val="0"/>
          <w:bCs w:val="0"/>
          <w:spacing wpsCustomData:val="7" w:val="13"/>
          <w:sz w:val="32"/>
          <w:szCs w:val="32"/>
        </w:rPr>
        <w:t>国际贸</w:t>
      </w:r>
      <w:r>
        <w:rPr>
          <w:rFonts w:ascii="Times New Roman" w:hAnsi="Times New Roman" w:eastAsia="仿宋_GB2312" w:cs="仿宋_GB2312"/>
          <w:b w:val="0"/>
          <w:bCs w:val="0"/>
          <w:spacing wpsCustomData:val="-6" w:val="7"/>
          <w:sz w:val="32"/>
          <w:szCs w:val="32"/>
        </w:rPr>
        <w:t>易、</w:t>
      </w:r>
      <w:r>
        <w:rPr>
          <w:rFonts w:ascii="Times New Roman" w:hAnsi="Times New Roman" w:eastAsia="仿宋_GB2312" w:cs="仿宋_GB2312"/>
          <w:b w:val="0"/>
          <w:bCs w:val="0"/>
          <w:spacing wpsCustomData:val="7" w:val="13"/>
          <w:sz w:val="32"/>
          <w:szCs w:val="32"/>
        </w:rPr>
        <w:t>工程管理</w:t>
      </w:r>
      <w:r>
        <w:rPr>
          <w:rFonts w:ascii="Times New Roman" w:hAnsi="Times New Roman" w:eastAsia="仿宋_GB2312" w:cs="仿宋_GB2312"/>
          <w:b w:val="0"/>
          <w:bCs w:val="0"/>
          <w:spacing wpsCustomData:val="-6" w:val="7"/>
          <w:sz w:val="32"/>
          <w:szCs w:val="32"/>
        </w:rPr>
        <w:t>、</w:t>
      </w:r>
      <w:r>
        <w:rPr>
          <w:rFonts w:hint="eastAsia" w:cs="仿宋_GB2312"/>
          <w:b w:val="0"/>
          <w:bCs w:val="0"/>
          <w:spacing wpsCustomData:val="-6" w:val="7"/>
          <w:sz w:val="32"/>
          <w:szCs w:val="32"/>
          <w:lang w:val="en-US" w:eastAsia="zh-CN"/>
        </w:rPr>
        <w:t>人力资源、</w:t>
      </w:r>
      <w:r>
        <w:rPr>
          <w:rFonts w:ascii="Times New Roman" w:hAnsi="Times New Roman" w:eastAsia="仿宋_GB2312" w:cs="仿宋_GB2312"/>
          <w:b w:val="0"/>
          <w:bCs w:val="0"/>
          <w:spacing wpsCustomData:val="7" w:val="13"/>
          <w:sz w:val="32"/>
          <w:szCs w:val="32"/>
        </w:rPr>
        <w:t>外语等相关专</w:t>
      </w:r>
      <w:r>
        <w:rPr>
          <w:rFonts w:ascii="Times New Roman" w:hAnsi="Times New Roman" w:eastAsia="仿宋_GB2312" w:cs="仿宋_GB2312"/>
          <w:b w:val="0"/>
          <w:bCs w:val="0"/>
          <w:spacing wpsCustomData:val="-6" w:val="-6"/>
          <w:sz w:val="32"/>
          <w:szCs w:val="32"/>
        </w:rPr>
        <w:t>业</w:t>
      </w: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优先。</w:t>
      </w:r>
    </w:p>
    <w:p w14:paraId="1E868EC6">
      <w:pPr>
        <w:pStyle w:val="4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/>
        <w:textAlignment w:val="auto"/>
        <w:rPr>
          <w:rFonts w:hint="eastAsia" w:eastAsia="楷体_GB2312"/>
          <w:b w:val="0"/>
          <w:bCs w:val="0"/>
          <w:sz w:val="32"/>
          <w:szCs w:val="32"/>
        </w:rPr>
      </w:pPr>
      <w:r>
        <w:rPr>
          <w:rFonts w:hint="eastAsia" w:cs="楷体_GB2312"/>
          <w:b w:val="0"/>
          <w:bCs w:val="0"/>
          <w:sz w:val="32"/>
          <w:szCs w:val="32"/>
          <w:lang w:eastAsia="zh-CN"/>
        </w:rPr>
        <w:t>（三）</w:t>
      </w:r>
      <w:r>
        <w:rPr>
          <w:rFonts w:ascii="Times New Roman" w:hAnsi="Times New Roman" w:eastAsia="楷体_GB2312" w:cs="楷体_GB2312"/>
          <w:b w:val="0"/>
          <w:bCs w:val="0"/>
          <w:sz w:val="32"/>
          <w:szCs w:val="32"/>
        </w:rPr>
        <w:t>专业知识</w:t>
      </w:r>
    </w:p>
    <w:p w14:paraId="74AE3C5A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eastAsia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熟悉中国境外投资与工程</w:t>
      </w:r>
      <w:r>
        <w:rPr>
          <w:rFonts w:hint="eastAsia" w:cs="仿宋_GB2312"/>
          <w:b w:val="0"/>
          <w:bCs w:val="0"/>
          <w:sz w:val="32"/>
          <w:szCs w:val="32"/>
          <w:lang w:val="en-US" w:eastAsia="zh-CN"/>
        </w:rPr>
        <w:t>总</w:t>
      </w: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承包</w:t>
      </w:r>
      <w:r>
        <w:rPr>
          <w:rFonts w:hint="eastAsia" w:cs="仿宋_GB2312"/>
          <w:b w:val="0"/>
          <w:bCs w:val="0"/>
          <w:sz w:val="32"/>
          <w:szCs w:val="32"/>
          <w:lang w:val="en-US" w:eastAsia="zh-CN"/>
        </w:rPr>
        <w:t>业务</w:t>
      </w:r>
      <w:r>
        <w:rPr>
          <w:rFonts w:hint="eastAsia" w:cs="仿宋_GB2312"/>
          <w:b w:val="0"/>
          <w:bCs w:val="0"/>
          <w:sz w:val="32"/>
          <w:szCs w:val="32"/>
          <w:lang w:eastAsia="zh-CN"/>
        </w:rPr>
        <w:t>。</w:t>
      </w:r>
    </w:p>
    <w:p w14:paraId="6074D803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eastAsia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熟悉国际工程承包通用规则（如FIDIC条款）及东道国属地合规要求，覆盖：市场准入与行业准入、财务税收、劳工与人权、环保安全（HSE）、招投标与商事合同、海关与进出口管制、反腐败与反舞弊、数据与保密、知识产权等9大重点领域。</w:t>
      </w:r>
    </w:p>
    <w:p w14:paraId="7DD0E5B3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eastAsia="仿宋_GB2312"/>
          <w:b w:val="0"/>
          <w:bCs w:val="0"/>
          <w:color w:val="auto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熟悉国际制裁与出口管制合规（联合国、美欧等制裁清单筛</w:t>
      </w:r>
      <w:r>
        <w:rPr>
          <w:rFonts w:ascii="Times New Roman" w:hAnsi="Times New Roman" w:eastAsia="仿宋_GB2312" w:cs="仿宋_GB2312"/>
          <w:b w:val="0"/>
          <w:bCs w:val="0"/>
          <w:color w:val="auto"/>
          <w:sz w:val="32"/>
          <w:szCs w:val="32"/>
        </w:rPr>
        <w:t>查）、反商业贿赂、跨境数据保护等前沿合规议题。</w:t>
      </w:r>
    </w:p>
    <w:p w14:paraId="2B4FD7AB">
      <w:pPr>
        <w:pStyle w:val="4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（四）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工作经历</w:t>
      </w:r>
    </w:p>
    <w:p w14:paraId="56D68265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具有法律、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合同、审计、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合规、风控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工程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项目管理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、财务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人力资源</w:t>
      </w:r>
      <w:r>
        <w:rPr>
          <w:rFonts w:hint="eastAsia" w:ascii="仿宋_GB2312" w:hAnsi="仿宋_GB2312" w:cs="仿宋_GB2312"/>
          <w:b w:val="0"/>
          <w:bCs w:val="0"/>
          <w:color w:val="auto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相关工作经验，具有海外工程项目驻场经历优先。</w:t>
      </w:r>
    </w:p>
    <w:p w14:paraId="79367413">
      <w:pPr>
        <w:pStyle w:val="4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/>
        <w:textAlignment w:val="auto"/>
        <w:rPr>
          <w:rFonts w:hint="eastAsia" w:eastAsia="楷体_GB2312"/>
          <w:b w:val="0"/>
          <w:bCs w:val="0"/>
          <w:sz w:val="32"/>
          <w:szCs w:val="32"/>
        </w:rPr>
      </w:pPr>
      <w:r>
        <w:rPr>
          <w:rFonts w:hint="eastAsia" w:cs="楷体_GB2312"/>
          <w:b w:val="0"/>
          <w:bCs w:val="0"/>
          <w:sz w:val="32"/>
          <w:szCs w:val="32"/>
          <w:lang w:eastAsia="zh-CN"/>
        </w:rPr>
        <w:t>（五）</w:t>
      </w:r>
      <w:r>
        <w:rPr>
          <w:rFonts w:ascii="Times New Roman" w:hAnsi="Times New Roman" w:eastAsia="楷体_GB2312" w:cs="楷体_GB2312"/>
          <w:b w:val="0"/>
          <w:bCs w:val="0"/>
          <w:sz w:val="32"/>
          <w:szCs w:val="32"/>
        </w:rPr>
        <w:t>能力与资质</w:t>
      </w:r>
    </w:p>
    <w:p w14:paraId="7B99B14A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具备独立统筹项目全周期合规管理工作能力，可自主完成现场合规审查、国别现场风险实地研判、全员合规落地培训、违规线索专项调查及突发合规事件属地应急处置全套实务工作。</w:t>
      </w:r>
    </w:p>
    <w:p w14:paraId="3A71B795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具备极强的属地跨文化对外沟通、多方协调与商务谈判能力，可独立对接东道国监管部门、业主、各类合作方及上级单位，妥善处置现场各类合规矛盾与争议事项。</w:t>
      </w:r>
    </w:p>
    <w:p w14:paraId="5B6797E9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</w:rPr>
        <w:t>具备优秀公文与专项材料撰写能力，可独立编制项目专属合规手册、动态风险清单、现场自查整改报告、重大风险专项上报材料及处置方案。</w:t>
      </w:r>
    </w:p>
    <w:p w14:paraId="3ADB79DA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psCustomData:val="-6" w:val="8"/>
          <w:sz w:val="32"/>
          <w:szCs w:val="32"/>
        </w:rPr>
        <w:t>英语可作为日常现场工作语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psCustomData:val="-6" w:val="9"/>
          <w:sz w:val="32"/>
          <w:szCs w:val="32"/>
        </w:rPr>
        <w:t>言</w:t>
      </w:r>
      <w:r>
        <w:rPr>
          <w:rFonts w:hint="eastAsia" w:cs="仿宋_GB2312"/>
          <w:b w:val="0"/>
          <w:bCs w:val="0"/>
          <w:color w:val="auto"/>
          <w:spacing wpsCustomData:val="-6" w:val="9"/>
          <w:sz w:val="32"/>
          <w:szCs w:val="32"/>
          <w:lang w:val="en-US" w:eastAsia="zh-CN"/>
        </w:rPr>
        <w:t>者优先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psCustomData:val="-6" w:val="8"/>
          <w:sz w:val="32"/>
          <w:szCs w:val="32"/>
        </w:rPr>
        <w:t>；掌握项目所在国小语种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pacing wpsCustomData:val="-6" w:val="-6"/>
          <w:sz w:val="32"/>
          <w:szCs w:val="32"/>
        </w:rPr>
        <w:t>者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</w:rPr>
        <w:t>优先。</w:t>
      </w:r>
    </w:p>
    <w:p w14:paraId="0ADEDC2C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eastAsia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持有法律职业资格证书、注册会计师（CPA）、注册内部审计师（CIA）、国际注册合规师（CCEP）等资质者优先。</w:t>
      </w:r>
    </w:p>
    <w:p w14:paraId="34237361">
      <w:pPr>
        <w:pStyle w:val="31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  <w:t>公司总部合规</w:t>
      </w:r>
      <w:r>
        <w:rPr>
          <w:rFonts w:hint="eastAsia" w:cs="方正小标宋简体"/>
          <w:b w:val="0"/>
          <w:bCs w:val="0"/>
          <w:sz w:val="44"/>
          <w:szCs w:val="44"/>
          <w:lang w:eastAsia="zh-CN"/>
        </w:rPr>
        <w:t>（</w:t>
      </w:r>
      <w:r>
        <w:rPr>
          <w:rFonts w:hint="eastAsia" w:cs="方正小标宋简体"/>
          <w:b w:val="0"/>
          <w:bCs w:val="0"/>
          <w:sz w:val="44"/>
          <w:szCs w:val="44"/>
          <w:lang w:val="en-US" w:eastAsia="zh-CN"/>
        </w:rPr>
        <w:t>风控</w:t>
      </w:r>
      <w:r>
        <w:rPr>
          <w:rFonts w:hint="eastAsia" w:cs="方正小标宋简体"/>
          <w:b w:val="0"/>
          <w:bCs w:val="0"/>
          <w:sz w:val="44"/>
          <w:szCs w:val="44"/>
          <w:lang w:eastAsia="zh-CN"/>
        </w:rPr>
        <w:t>）</w:t>
      </w:r>
      <w:r>
        <w:rPr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  <w:t>专员招聘</w:t>
      </w:r>
      <w:r>
        <w:rPr>
          <w:rFonts w:hint="eastAsia" w:cs="方正小标宋简体"/>
          <w:b w:val="0"/>
          <w:bCs w:val="0"/>
          <w:sz w:val="44"/>
          <w:szCs w:val="44"/>
          <w:lang w:val="en-US" w:eastAsia="zh-CN"/>
        </w:rPr>
        <w:t>要求</w:t>
      </w:r>
    </w:p>
    <w:p w14:paraId="51882266">
      <w:pPr>
        <w:pStyle w:val="19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</w:pPr>
    </w:p>
    <w:p w14:paraId="1A4DE5E7">
      <w:pPr>
        <w:pStyle w:val="3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/>
        <w:textAlignment w:val="auto"/>
        <w:rPr>
          <w:rFonts w:eastAsia="黑体"/>
          <w:b w:val="0"/>
          <w:bCs w:val="0"/>
          <w:sz w:val="32"/>
          <w:szCs w:val="32"/>
        </w:rPr>
      </w:pPr>
      <w:r>
        <w:rPr>
          <w:rFonts w:hint="eastAsia" w:cs="黑体"/>
          <w:b w:val="0"/>
          <w:bCs w:val="0"/>
          <w:sz w:val="32"/>
          <w:szCs w:val="32"/>
          <w:lang w:eastAsia="zh-CN"/>
        </w:rPr>
        <w:t>一、</w:t>
      </w:r>
      <w:r>
        <w:rPr>
          <w:rFonts w:ascii="黑体" w:hAnsi="黑体" w:eastAsia="黑体" w:cs="黑体"/>
          <w:b w:val="0"/>
          <w:bCs w:val="0"/>
          <w:sz w:val="32"/>
          <w:szCs w:val="32"/>
        </w:rPr>
        <w:t>岗位基本信息</w:t>
      </w:r>
    </w:p>
    <w:tbl>
      <w:tblPr>
        <w:tblStyle w:val="49"/>
        <w:tblW w:w="5000" w:type="pct"/>
        <w:jc w:val="center"/>
        <w:tbl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single" w:color="4F81BD" w:themeColor="accent1" w:sz="8" w:space="0"/>
          <w:insideV w:val="single" w:color="4F81BD" w:themeColor="accent1" w:sz="8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9"/>
        <w:gridCol w:w="7516"/>
      </w:tblGrid>
      <w:tr w14:paraId="016402C1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0" w:type="pct"/>
          </w:tcPr>
          <w:p w14:paraId="78327048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</w:pPr>
            <w:r>
              <w:rPr>
                <w:rFonts w:ascii="微软雅黑" w:hAnsi="微软雅黑" w:eastAsia="微软雅黑"/>
                <w:b/>
              </w:rPr>
              <w:t>岗位名称</w:t>
            </w:r>
          </w:p>
        </w:tc>
        <w:tc>
          <w:tcPr>
            <w:tcW w:w="4000" w:type="pct"/>
          </w:tcPr>
          <w:p w14:paraId="030EE337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</w:pPr>
            <w:r>
              <w:rPr>
                <w:rFonts w:ascii="微软雅黑" w:hAnsi="微软雅黑" w:eastAsia="微软雅黑"/>
              </w:rPr>
              <w:t>总部合规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风控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ascii="微软雅黑" w:hAnsi="微软雅黑" w:eastAsia="微软雅黑"/>
              </w:rPr>
              <w:t>专员（专职）</w:t>
            </w:r>
          </w:p>
        </w:tc>
      </w:tr>
      <w:tr w14:paraId="03583A77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0" w:type="pct"/>
          </w:tcPr>
          <w:p w14:paraId="60C66F53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</w:pPr>
            <w:r>
              <w:rPr>
                <w:rFonts w:ascii="微软雅黑" w:hAnsi="微软雅黑" w:eastAsia="微软雅黑"/>
                <w:b/>
              </w:rPr>
              <w:t>岗位编制</w:t>
            </w:r>
          </w:p>
        </w:tc>
        <w:tc>
          <w:tcPr>
            <w:tcW w:w="4000" w:type="pct"/>
          </w:tcPr>
          <w:p w14:paraId="6B039E9C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</w:pPr>
            <w:r>
              <w:rPr>
                <w:rFonts w:ascii="微软雅黑" w:hAnsi="微软雅黑" w:eastAsia="微软雅黑"/>
              </w:rPr>
              <w:t>5名，设在海外业务事业部，按国别</w:t>
            </w:r>
            <w:r>
              <w:rPr>
                <w:rFonts w:hint="eastAsia"/>
                <w:lang w:eastAsia="zh-CN"/>
              </w:rPr>
              <w:t>／</w:t>
            </w:r>
            <w:r>
              <w:rPr>
                <w:rFonts w:ascii="微软雅黑" w:hAnsi="微软雅黑" w:eastAsia="微软雅黑"/>
              </w:rPr>
              <w:t>区域分工</w:t>
            </w:r>
          </w:p>
        </w:tc>
      </w:tr>
      <w:tr w14:paraId="25556FC1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0" w:type="pct"/>
          </w:tcPr>
          <w:p w14:paraId="10F92B2F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</w:pPr>
            <w:r>
              <w:rPr>
                <w:rFonts w:ascii="微软雅黑" w:hAnsi="微软雅黑" w:eastAsia="微软雅黑"/>
                <w:b/>
              </w:rPr>
              <w:t>岗位定位</w:t>
            </w:r>
          </w:p>
        </w:tc>
        <w:tc>
          <w:tcPr>
            <w:tcW w:w="4000" w:type="pct"/>
          </w:tcPr>
          <w:p w14:paraId="50E0925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</w:pPr>
            <w:r>
              <w:rPr>
                <w:rFonts w:ascii="微软雅黑" w:hAnsi="微软雅黑" w:eastAsia="微软雅黑"/>
              </w:rPr>
              <w:t>总部层面专职合规力量，承担国别</w:t>
            </w:r>
            <w:r>
              <w:rPr>
                <w:rFonts w:hint="eastAsia"/>
                <w:lang w:eastAsia="zh-CN"/>
              </w:rPr>
              <w:t>／</w:t>
            </w:r>
            <w:r>
              <w:rPr>
                <w:rFonts w:ascii="微软雅黑" w:hAnsi="微软雅黑" w:eastAsia="微软雅黑"/>
              </w:rPr>
              <w:t>区域合规统筹、前置审查、风险排查与一线指导职能</w:t>
            </w:r>
          </w:p>
        </w:tc>
      </w:tr>
      <w:tr w14:paraId="7EC3B4DA">
        <w:tblPrEx>
          <w:tblBorders>
            <w:top w:val="single" w:color="4F81BD" w:themeColor="accent1" w:sz="8" w:space="0"/>
            <w:left w:val="single" w:color="4F81BD" w:themeColor="accent1" w:sz="8" w:space="0"/>
            <w:bottom w:val="single" w:color="4F81BD" w:themeColor="accent1" w:sz="8" w:space="0"/>
            <w:right w:val="single" w:color="4F81BD" w:themeColor="accent1" w:sz="8" w:space="0"/>
            <w:insideH w:val="single" w:color="4F81BD" w:themeColor="accent1" w:sz="8" w:space="0"/>
            <w:insideV w:val="single" w:color="4F81BD" w:themeColor="accen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0" w:type="pct"/>
          </w:tcPr>
          <w:p w14:paraId="3F3ADBB6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</w:pPr>
            <w:r>
              <w:rPr>
                <w:rFonts w:ascii="微软雅黑" w:hAnsi="微软雅黑" w:eastAsia="微软雅黑"/>
                <w:b/>
              </w:rPr>
              <w:t>工作地点</w:t>
            </w:r>
          </w:p>
        </w:tc>
        <w:tc>
          <w:tcPr>
            <w:tcW w:w="4000" w:type="pct"/>
          </w:tcPr>
          <w:p w14:paraId="61B9BA19">
            <w:pPr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60" w:lineRule="exact"/>
              <w:textAlignment w:val="auto"/>
            </w:pPr>
            <w:r>
              <w:rPr>
                <w:rFonts w:ascii="微软雅黑" w:hAnsi="微软雅黑" w:eastAsia="微软雅黑"/>
              </w:rPr>
              <w:t>公司总部，根据需赴境外机构、项目部开展现场检查、培训与应急处置</w:t>
            </w:r>
          </w:p>
        </w:tc>
      </w:tr>
    </w:tbl>
    <w:p w14:paraId="5AD49EA0">
      <w:pPr>
        <w:pStyle w:val="3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/>
        <w:textAlignment w:val="auto"/>
        <w:rPr>
          <w:rFonts w:eastAsia="黑体"/>
          <w:b w:val="0"/>
          <w:bCs w:val="0"/>
          <w:sz w:val="32"/>
          <w:szCs w:val="32"/>
        </w:rPr>
      </w:pPr>
      <w:r>
        <w:rPr>
          <w:rFonts w:hint="eastAsia" w:cs="黑体"/>
          <w:b w:val="0"/>
          <w:bCs w:val="0"/>
          <w:sz w:val="32"/>
          <w:szCs w:val="32"/>
          <w:lang w:eastAsia="zh-CN"/>
        </w:rPr>
        <w:t>二、</w:t>
      </w:r>
      <w:r>
        <w:rPr>
          <w:rFonts w:ascii="黑体" w:hAnsi="黑体" w:eastAsia="黑体" w:cs="黑体"/>
          <w:b w:val="0"/>
          <w:bCs w:val="0"/>
          <w:sz w:val="32"/>
          <w:szCs w:val="32"/>
        </w:rPr>
        <w:t>岗位职责</w:t>
      </w:r>
    </w:p>
    <w:p w14:paraId="52D06E5B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eastAsia="仿宋_GB2312"/>
          <w:b w:val="0"/>
          <w:sz w:val="32"/>
          <w:szCs w:val="32"/>
        </w:rPr>
      </w:pPr>
      <w:r>
        <w:rPr>
          <w:rStyle w:val="164"/>
          <w:rFonts w:hint="eastAsia" w:eastAsia="楷体_GB2312"/>
          <w:lang w:eastAsia="zh-CN"/>
        </w:rPr>
        <w:t>（一）</w:t>
      </w:r>
      <w:r>
        <w:rPr>
          <w:rStyle w:val="164"/>
        </w:rPr>
        <w:t>国别／区域合规跟踪与预警</w:t>
      </w:r>
      <w:r>
        <w:rPr>
          <w:rFonts w:ascii="Times New Roman" w:hAnsi="Times New Roman" w:eastAsia="仿宋_GB2312" w:cs="仿宋_GB2312"/>
          <w:b/>
          <w:sz w:val="32"/>
          <w:szCs w:val="32"/>
        </w:rPr>
        <w:t>：</w:t>
      </w:r>
      <w:r>
        <w:rPr>
          <w:rFonts w:ascii="Times New Roman" w:hAnsi="Times New Roman" w:eastAsia="仿宋_GB2312" w:cs="仿宋_GB2312"/>
          <w:sz w:val="32"/>
          <w:szCs w:val="32"/>
        </w:rPr>
        <w:t>对口跟踪负责国别／区域的法律法规变化、监管动态与政策趋势，开展国别合规</w:t>
      </w:r>
      <w:r>
        <w:rPr>
          <w:rFonts w:hint="eastAsia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风险研判及合规</w:t>
      </w:r>
      <w:r>
        <w:rPr>
          <w:rFonts w:hint="eastAsia" w:cs="仿宋_GB2312"/>
          <w:sz w:val="32"/>
          <w:szCs w:val="32"/>
          <w:lang w:eastAsia="zh-CN"/>
        </w:rPr>
        <w:t>、</w:t>
      </w:r>
      <w:r>
        <w:rPr>
          <w:rFonts w:ascii="Times New Roman" w:hAnsi="Times New Roman" w:eastAsia="仿宋_GB2312" w:cs="仿宋_GB2312"/>
          <w:sz w:val="32"/>
          <w:szCs w:val="32"/>
        </w:rPr>
        <w:t>风险预警。</w:t>
      </w:r>
    </w:p>
    <w:p w14:paraId="2313A883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eastAsia="仿宋_GB2312"/>
          <w:b w:val="0"/>
          <w:sz w:val="32"/>
          <w:szCs w:val="32"/>
        </w:rPr>
      </w:pPr>
      <w:r>
        <w:rPr>
          <w:rStyle w:val="164"/>
          <w:rFonts w:hint="eastAsia" w:eastAsia="楷体_GB2312"/>
          <w:lang w:eastAsia="zh-CN"/>
        </w:rPr>
        <w:t>（二）</w:t>
      </w:r>
      <w:r>
        <w:rPr>
          <w:rStyle w:val="164"/>
        </w:rPr>
        <w:t>合规手册与清单编制</w:t>
      </w:r>
      <w:r>
        <w:rPr>
          <w:rFonts w:ascii="Times New Roman" w:hAnsi="Times New Roman" w:eastAsia="仿宋_GB2312" w:cs="仿宋_GB2312"/>
          <w:b/>
          <w:sz w:val="32"/>
          <w:szCs w:val="32"/>
        </w:rPr>
        <w:t>：</w:t>
      </w:r>
      <w:r>
        <w:rPr>
          <w:rFonts w:ascii="Times New Roman" w:hAnsi="Times New Roman" w:eastAsia="仿宋_GB2312" w:cs="仿宋_GB2312"/>
          <w:sz w:val="32"/>
          <w:szCs w:val="32"/>
        </w:rPr>
        <w:t>编制并组织更新所负责国别／区域的合规手册（指南）、风险清单与控制台账。</w:t>
      </w:r>
    </w:p>
    <w:p w14:paraId="34276FE6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eastAsia="仿宋_GB2312"/>
          <w:b w:val="0"/>
          <w:sz w:val="32"/>
          <w:szCs w:val="32"/>
        </w:rPr>
      </w:pPr>
      <w:r>
        <w:rPr>
          <w:rStyle w:val="164"/>
          <w:rFonts w:hint="eastAsia" w:eastAsia="楷体_GB2312"/>
          <w:lang w:eastAsia="zh-CN"/>
        </w:rPr>
        <w:t>（三）</w:t>
      </w:r>
      <w:r>
        <w:rPr>
          <w:rStyle w:val="164"/>
        </w:rPr>
        <w:t>前置合规审查</w:t>
      </w:r>
      <w:r>
        <w:rPr>
          <w:rFonts w:ascii="Times New Roman" w:hAnsi="Times New Roman" w:eastAsia="仿宋_GB2312" w:cs="仿宋_GB2312"/>
          <w:b/>
          <w:sz w:val="32"/>
          <w:szCs w:val="32"/>
        </w:rPr>
        <w:t>：</w:t>
      </w:r>
      <w:r>
        <w:rPr>
          <w:rFonts w:ascii="Times New Roman" w:hAnsi="Times New Roman" w:eastAsia="仿宋_GB2312" w:cs="仿宋_GB2312"/>
          <w:sz w:val="32"/>
          <w:szCs w:val="32"/>
        </w:rPr>
        <w:t>对对口区域／项目的重大合同（签约前）、投标文件、合作方协议、保函及融资担保文件等实施前置合规</w:t>
      </w:r>
      <w:r>
        <w:rPr>
          <w:rFonts w:ascii="Times New Roman" w:hAnsi="Times New Roman" w:eastAsia="仿宋_GB2312" w:cs="仿宋_GB2312"/>
          <w:spacing wpsCustomData:val="-6" w:val="1"/>
          <w:sz w:val="32"/>
          <w:szCs w:val="32"/>
        </w:rPr>
        <w:t>审查（侧重签约前重大交易审查），出具审查意见并跟踪整</w:t>
      </w:r>
      <w:r>
        <w:rPr>
          <w:rFonts w:ascii="Times New Roman" w:hAnsi="Times New Roman" w:eastAsia="仿宋_GB2312" w:cs="仿宋_GB2312"/>
          <w:spacing wpsCustomData:val="-6" w:val="-6"/>
          <w:sz w:val="32"/>
          <w:szCs w:val="32"/>
        </w:rPr>
        <w:t>改</w:t>
      </w:r>
      <w:r>
        <w:rPr>
          <w:rFonts w:ascii="Times New Roman" w:hAnsi="Times New Roman" w:eastAsia="仿宋_GB2312" w:cs="仿宋_GB2312"/>
          <w:sz w:val="32"/>
          <w:szCs w:val="32"/>
        </w:rPr>
        <w:t>落实。</w:t>
      </w:r>
    </w:p>
    <w:p w14:paraId="1EDAC818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eastAsia="仿宋_GB2312"/>
          <w:b w:val="0"/>
          <w:sz w:val="32"/>
          <w:szCs w:val="32"/>
        </w:rPr>
      </w:pPr>
      <w:r>
        <w:rPr>
          <w:rStyle w:val="164"/>
          <w:rFonts w:hint="eastAsia" w:eastAsia="楷体_GB2312"/>
          <w:lang w:eastAsia="zh-CN"/>
        </w:rPr>
        <w:t>（四）</w:t>
      </w:r>
      <w:r>
        <w:rPr>
          <w:rStyle w:val="164"/>
        </w:rPr>
        <w:t>风险排查与专项检查</w:t>
      </w:r>
      <w:r>
        <w:rPr>
          <w:rFonts w:ascii="Times New Roman" w:hAnsi="Times New Roman" w:eastAsia="仿宋_GB2312" w:cs="仿宋_GB2312"/>
          <w:b/>
          <w:sz w:val="32"/>
          <w:szCs w:val="32"/>
        </w:rPr>
        <w:t>：</w:t>
      </w:r>
      <w:r>
        <w:rPr>
          <w:rFonts w:ascii="Times New Roman" w:hAnsi="Times New Roman" w:eastAsia="仿宋_GB2312" w:cs="仿宋_GB2312"/>
          <w:sz w:val="32"/>
          <w:szCs w:val="32"/>
        </w:rPr>
        <w:t>组织对口区域／项目的合规</w:t>
      </w:r>
      <w:r>
        <w:rPr>
          <w:rFonts w:hint="eastAsia" w:cs="仿宋_GB2312"/>
          <w:sz w:val="32"/>
          <w:szCs w:val="32"/>
          <w:lang w:val="en-US" w:eastAsia="zh-CN"/>
        </w:rPr>
        <w:t>抽查、</w:t>
      </w:r>
      <w:r>
        <w:rPr>
          <w:rFonts w:ascii="Times New Roman" w:hAnsi="Times New Roman" w:eastAsia="仿宋_GB2312" w:cs="仿宋_GB2312"/>
          <w:sz w:val="32"/>
          <w:szCs w:val="32"/>
        </w:rPr>
        <w:t>风险排查、专项检查、有效性评价，督促问题即查即改、闭环销号，定期形成风险排查报告。</w:t>
      </w:r>
    </w:p>
    <w:p w14:paraId="61234A4C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eastAsia="仿宋_GB2312"/>
          <w:b w:val="0"/>
          <w:sz w:val="32"/>
          <w:szCs w:val="32"/>
        </w:rPr>
      </w:pPr>
      <w:r>
        <w:rPr>
          <w:rStyle w:val="164"/>
          <w:rFonts w:hint="eastAsia" w:eastAsia="楷体_GB2312"/>
          <w:lang w:eastAsia="zh-CN"/>
        </w:rPr>
        <w:t>（五）</w:t>
      </w:r>
      <w:r>
        <w:rPr>
          <w:rStyle w:val="164"/>
        </w:rPr>
        <w:t>合规</w:t>
      </w:r>
      <w:r>
        <w:rPr>
          <w:rFonts w:hint="eastAsia" w:cs="仿宋_GB2312"/>
          <w:sz w:val="32"/>
          <w:szCs w:val="32"/>
          <w:lang w:val="en-US" w:eastAsia="zh-CN"/>
        </w:rPr>
        <w:t>及风险</w:t>
      </w:r>
      <w:r>
        <w:rPr>
          <w:rStyle w:val="164"/>
        </w:rPr>
        <w:t>培训</w:t>
      </w:r>
      <w:r>
        <w:rPr>
          <w:rFonts w:ascii="Times New Roman" w:hAnsi="Times New Roman" w:eastAsia="仿宋_GB2312" w:cs="仿宋_GB2312"/>
          <w:b/>
          <w:sz w:val="32"/>
          <w:szCs w:val="32"/>
        </w:rPr>
        <w:t>：</w:t>
      </w:r>
      <w:r>
        <w:rPr>
          <w:rFonts w:ascii="Times New Roman" w:hAnsi="Times New Roman" w:eastAsia="仿宋_GB2312" w:cs="仿宋_GB2312"/>
          <w:sz w:val="32"/>
          <w:szCs w:val="32"/>
        </w:rPr>
        <w:t>牵头开展对口区域／项目的合规</w:t>
      </w:r>
      <w:r>
        <w:rPr>
          <w:rFonts w:hint="eastAsia" w:cs="仿宋_GB2312"/>
          <w:sz w:val="32"/>
          <w:szCs w:val="32"/>
          <w:lang w:val="en-US" w:eastAsia="zh-CN"/>
        </w:rPr>
        <w:t>及风险</w:t>
      </w:r>
      <w:r>
        <w:rPr>
          <w:rFonts w:ascii="Times New Roman" w:hAnsi="Times New Roman" w:eastAsia="仿宋_GB2312" w:cs="仿宋_GB2312"/>
          <w:sz w:val="32"/>
          <w:szCs w:val="32"/>
        </w:rPr>
        <w:t>培训，提升一线人员合规意识</w:t>
      </w:r>
      <w:r>
        <w:rPr>
          <w:rFonts w:hint="eastAsia" w:cs="仿宋_GB2312"/>
          <w:sz w:val="32"/>
          <w:szCs w:val="32"/>
          <w:lang w:val="en-US" w:eastAsia="zh-CN"/>
        </w:rPr>
        <w:t>及风险防控</w:t>
      </w:r>
      <w:r>
        <w:rPr>
          <w:rFonts w:ascii="Times New Roman" w:hAnsi="Times New Roman" w:eastAsia="仿宋_GB2312" w:cs="仿宋_GB2312"/>
          <w:sz w:val="32"/>
          <w:szCs w:val="32"/>
        </w:rPr>
        <w:t>能力。</w:t>
      </w:r>
    </w:p>
    <w:p w14:paraId="3EB68FC3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eastAsia="仿宋_GB2312"/>
          <w:b w:val="0"/>
          <w:sz w:val="32"/>
          <w:szCs w:val="32"/>
        </w:rPr>
      </w:pPr>
      <w:r>
        <w:rPr>
          <w:rStyle w:val="164"/>
          <w:rFonts w:hint="eastAsia" w:eastAsia="楷体_GB2312"/>
          <w:lang w:eastAsia="zh-CN"/>
        </w:rPr>
        <w:t>（六）</w:t>
      </w:r>
      <w:r>
        <w:rPr>
          <w:rStyle w:val="164"/>
        </w:rPr>
        <w:t>应急处置与举报调查</w:t>
      </w:r>
      <w:r>
        <w:rPr>
          <w:rFonts w:ascii="Times New Roman" w:hAnsi="Times New Roman" w:eastAsia="仿宋_GB2312" w:cs="仿宋_GB2312"/>
          <w:b/>
          <w:sz w:val="32"/>
          <w:szCs w:val="32"/>
        </w:rPr>
        <w:t>：</w:t>
      </w:r>
      <w:r>
        <w:rPr>
          <w:rFonts w:ascii="Times New Roman" w:hAnsi="Times New Roman" w:eastAsia="仿宋_GB2312" w:cs="仿宋_GB2312"/>
          <w:sz w:val="32"/>
          <w:szCs w:val="32"/>
        </w:rPr>
        <w:t>参与对口区域合规</w:t>
      </w:r>
      <w:r>
        <w:rPr>
          <w:rFonts w:hint="eastAsia" w:cs="仿宋_GB2312"/>
          <w:sz w:val="32"/>
          <w:szCs w:val="32"/>
          <w:lang w:val="en-US" w:eastAsia="zh-CN"/>
        </w:rPr>
        <w:t>/风险</w:t>
      </w:r>
      <w:r>
        <w:rPr>
          <w:rFonts w:ascii="Times New Roman" w:hAnsi="Times New Roman" w:eastAsia="仿宋_GB2312" w:cs="仿宋_GB2312"/>
          <w:sz w:val="32"/>
          <w:szCs w:val="32"/>
        </w:rPr>
        <w:t>突发事件的应急处置与举报调查，协助收集证据、提出处置建议。</w:t>
      </w:r>
    </w:p>
    <w:p w14:paraId="63471167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16"/>
        <w:textAlignment w:val="auto"/>
        <w:rPr>
          <w:rFonts w:eastAsia="仿宋_GB2312"/>
          <w:b w:val="0"/>
          <w:sz w:val="32"/>
          <w:szCs w:val="32"/>
        </w:rPr>
      </w:pPr>
      <w:r>
        <w:rPr>
          <w:rStyle w:val="164"/>
          <w:rFonts w:hint="eastAsia" w:eastAsia="楷体_GB2312"/>
          <w:lang w:eastAsia="zh-CN"/>
        </w:rPr>
        <w:t>（七）</w:t>
      </w:r>
      <w:r>
        <w:rPr>
          <w:rStyle w:val="164"/>
        </w:rPr>
        <w:t>一线信息汇集与指导</w:t>
      </w:r>
      <w:r>
        <w:rPr>
          <w:rFonts w:ascii="Times New Roman" w:hAnsi="Times New Roman" w:eastAsia="仿宋_GB2312" w:cs="仿宋_GB2312"/>
          <w:b/>
          <w:sz w:val="32"/>
          <w:szCs w:val="32"/>
        </w:rPr>
        <w:t>：</w:t>
      </w:r>
      <w:r>
        <w:rPr>
          <w:rFonts w:ascii="Times New Roman" w:hAnsi="Times New Roman" w:eastAsia="仿宋_GB2312" w:cs="仿宋_GB2312"/>
          <w:sz w:val="32"/>
          <w:szCs w:val="32"/>
        </w:rPr>
        <w:t>对接所属企业、境外机构、项目部合规岗位，指导、收集、汇总一线合规信息与报告，支撑总部合规研判与决策。</w:t>
      </w:r>
    </w:p>
    <w:p w14:paraId="7950118F">
      <w:pPr>
        <w:pStyle w:val="3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/>
        <w:textAlignment w:val="auto"/>
        <w:rPr>
          <w:rFonts w:eastAsia="黑体"/>
          <w:b w:val="0"/>
          <w:bCs w:val="0"/>
          <w:sz w:val="32"/>
          <w:szCs w:val="32"/>
        </w:rPr>
      </w:pPr>
      <w:r>
        <w:rPr>
          <w:rFonts w:hint="eastAsia" w:cs="黑体"/>
          <w:b w:val="0"/>
          <w:bCs w:val="0"/>
          <w:sz w:val="32"/>
          <w:szCs w:val="32"/>
          <w:lang w:eastAsia="zh-CN"/>
        </w:rPr>
        <w:t>三、</w:t>
      </w:r>
      <w:r>
        <w:rPr>
          <w:rFonts w:ascii="黑体" w:hAnsi="黑体" w:eastAsia="黑体" w:cs="黑体"/>
          <w:b w:val="0"/>
          <w:bCs w:val="0"/>
          <w:sz w:val="32"/>
          <w:szCs w:val="32"/>
        </w:rPr>
        <w:t>任职条件</w:t>
      </w:r>
    </w:p>
    <w:p w14:paraId="2E2125B3">
      <w:pPr>
        <w:pStyle w:val="4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/>
        <w:textAlignment w:val="auto"/>
        <w:rPr>
          <w:rFonts w:hint="eastAsia" w:eastAsia="楷体_GB2312"/>
          <w:b w:val="0"/>
          <w:bCs w:val="0"/>
          <w:sz w:val="32"/>
          <w:szCs w:val="32"/>
        </w:rPr>
      </w:pPr>
      <w:r>
        <w:rPr>
          <w:rFonts w:hint="eastAsia" w:cs="楷体_GB2312"/>
          <w:b w:val="0"/>
          <w:bCs w:val="0"/>
          <w:sz w:val="32"/>
          <w:szCs w:val="32"/>
          <w:lang w:eastAsia="zh-CN"/>
        </w:rPr>
        <w:t>（一）</w:t>
      </w:r>
      <w:r>
        <w:rPr>
          <w:rFonts w:ascii="Times New Roman" w:hAnsi="Times New Roman" w:eastAsia="楷体_GB2312" w:cs="楷体_GB2312"/>
          <w:b w:val="0"/>
          <w:bCs w:val="0"/>
          <w:sz w:val="32"/>
          <w:szCs w:val="32"/>
        </w:rPr>
        <w:t>基本条件</w:t>
      </w:r>
    </w:p>
    <w:p w14:paraId="667DE524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eastAsia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政治素质过硬，遵纪守法，忠诚干净担当，无违法违规及不良合规记录；自觉认同并践行公司合规文化。</w:t>
      </w:r>
    </w:p>
    <w:p w14:paraId="6D04D0C3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eastAsia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责任心强，原则性强，具备独立履职意识，敢于对重大不合规事项提出否决、直报意见。</w:t>
      </w:r>
    </w:p>
    <w:p w14:paraId="6AA0BC0B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eastAsia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身心健康，能适应因境外检查、培训、应急处置需要而产生的国内外出差。</w:t>
      </w:r>
    </w:p>
    <w:p w14:paraId="087D48DD">
      <w:pPr>
        <w:pStyle w:val="4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/>
        <w:textAlignment w:val="auto"/>
        <w:rPr>
          <w:rFonts w:hint="eastAsia" w:eastAsia="楷体_GB2312"/>
          <w:b w:val="0"/>
          <w:bCs w:val="0"/>
          <w:sz w:val="32"/>
          <w:szCs w:val="32"/>
        </w:rPr>
      </w:pPr>
      <w:r>
        <w:rPr>
          <w:rFonts w:hint="eastAsia" w:cs="楷体_GB2312"/>
          <w:b w:val="0"/>
          <w:bCs w:val="0"/>
          <w:sz w:val="32"/>
          <w:szCs w:val="32"/>
          <w:lang w:eastAsia="zh-CN"/>
        </w:rPr>
        <w:t>（二）</w:t>
      </w:r>
      <w:r>
        <w:rPr>
          <w:rFonts w:ascii="Times New Roman" w:hAnsi="Times New Roman" w:eastAsia="楷体_GB2312" w:cs="楷体_GB2312"/>
          <w:b w:val="0"/>
          <w:bCs w:val="0"/>
          <w:sz w:val="32"/>
          <w:szCs w:val="32"/>
        </w:rPr>
        <w:t>学历与专业</w:t>
      </w:r>
    </w:p>
    <w:p w14:paraId="6D4B811F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16" w:leftChars="0"/>
        <w:textAlignment w:val="auto"/>
        <w:rPr>
          <w:rFonts w:eastAsia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大学本科及以上学历。</w:t>
      </w:r>
    </w:p>
    <w:p w14:paraId="3289FA30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eastAsia="仿宋_GB2312"/>
          <w:b w:val="0"/>
          <w:bCs w:val="0"/>
          <w:sz w:val="32"/>
          <w:szCs w:val="32"/>
        </w:rPr>
      </w:pPr>
      <w:r>
        <w:rPr>
          <w:rFonts w:hint="eastAsia" w:cs="仿宋_GB2312"/>
          <w:b w:val="0"/>
          <w:bCs w:val="0"/>
          <w:sz w:val="32"/>
          <w:szCs w:val="32"/>
          <w:lang w:val="en-US" w:eastAsia="zh-CN"/>
        </w:rPr>
        <w:t>法律</w:t>
      </w: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、国际法、财务管理、国际贸易、工程管理、</w:t>
      </w:r>
      <w:r>
        <w:rPr>
          <w:rFonts w:hint="eastAsia" w:cs="仿宋_GB2312"/>
          <w:b w:val="0"/>
          <w:bCs w:val="0"/>
          <w:sz w:val="32"/>
          <w:szCs w:val="32"/>
          <w:lang w:val="en-US" w:eastAsia="zh-CN"/>
        </w:rPr>
        <w:t>人力资源、</w:t>
      </w: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外语等相关专业优先。</w:t>
      </w:r>
    </w:p>
    <w:p w14:paraId="7755C80A">
      <w:pPr>
        <w:pStyle w:val="4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/>
        <w:textAlignment w:val="auto"/>
        <w:rPr>
          <w:rFonts w:hint="eastAsia" w:eastAsia="楷体_GB2312"/>
          <w:b w:val="0"/>
          <w:bCs w:val="0"/>
          <w:sz w:val="32"/>
          <w:szCs w:val="32"/>
        </w:rPr>
      </w:pPr>
      <w:r>
        <w:rPr>
          <w:rFonts w:hint="eastAsia" w:cs="楷体_GB2312"/>
          <w:b w:val="0"/>
          <w:bCs w:val="0"/>
          <w:sz w:val="32"/>
          <w:szCs w:val="32"/>
          <w:lang w:eastAsia="zh-CN"/>
        </w:rPr>
        <w:t>（三）</w:t>
      </w:r>
      <w:r>
        <w:rPr>
          <w:rFonts w:ascii="Times New Roman" w:hAnsi="Times New Roman" w:eastAsia="楷体_GB2312" w:cs="楷体_GB2312"/>
          <w:b w:val="0"/>
          <w:bCs w:val="0"/>
          <w:sz w:val="32"/>
          <w:szCs w:val="32"/>
        </w:rPr>
        <w:t>专业知识</w:t>
      </w:r>
    </w:p>
    <w:p w14:paraId="6172C774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16" w:leftChars="0"/>
        <w:textAlignment w:val="auto"/>
        <w:rPr>
          <w:rFonts w:eastAsia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境外投资与工程</w:t>
      </w:r>
      <w:r>
        <w:rPr>
          <w:rFonts w:hint="eastAsia" w:cs="仿宋_GB2312"/>
          <w:b w:val="0"/>
          <w:bCs w:val="0"/>
          <w:sz w:val="32"/>
          <w:szCs w:val="32"/>
          <w:lang w:val="en-US" w:eastAsia="zh-CN"/>
        </w:rPr>
        <w:t>总</w:t>
      </w: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承包</w:t>
      </w:r>
      <w:r>
        <w:rPr>
          <w:rFonts w:hint="eastAsia" w:cs="仿宋_GB2312"/>
          <w:b w:val="0"/>
          <w:bCs w:val="0"/>
          <w:sz w:val="32"/>
          <w:szCs w:val="32"/>
          <w:lang w:val="en-US" w:eastAsia="zh-CN"/>
        </w:rPr>
        <w:t>业务</w:t>
      </w:r>
      <w:r>
        <w:rPr>
          <w:rFonts w:hint="eastAsia" w:cs="仿宋_GB2312"/>
          <w:b w:val="0"/>
          <w:bCs w:val="0"/>
          <w:sz w:val="32"/>
          <w:szCs w:val="32"/>
          <w:lang w:eastAsia="zh-CN"/>
        </w:rPr>
        <w:t>。</w:t>
      </w:r>
    </w:p>
    <w:p w14:paraId="427635CF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eastAsia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熟悉国际工程承包通用规则（如 FIDIC条款）及东道国属地合规要求，覆盖：市场准入与行业准入、财务税收、劳工与人权、环保安全（HSE）、招投标与商事合同、海关与进出口管制、反腐败与反舞弊、数据与保密、知识产权等9大重点领域。</w:t>
      </w:r>
    </w:p>
    <w:p w14:paraId="7A4C3D41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eastAsia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熟悉国际制裁与出口管制合规（联合国、美欧等制裁清单筛查）、反商业贿赂、跨境数据保护等前沿合规议题</w:t>
      </w:r>
    </w:p>
    <w:p w14:paraId="684FD421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eastAsia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具备国别合规研判能力，能独立编制国别合规指南、风险清单与审查意见。</w:t>
      </w:r>
    </w:p>
    <w:p w14:paraId="104AD530">
      <w:pPr>
        <w:pStyle w:val="4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/>
        <w:textAlignment w:val="auto"/>
        <w:rPr>
          <w:rFonts w:hint="eastAsia" w:eastAsia="楷体_GB2312"/>
          <w:b w:val="0"/>
          <w:bCs w:val="0"/>
          <w:color w:val="auto"/>
          <w:sz w:val="32"/>
          <w:szCs w:val="32"/>
        </w:rPr>
      </w:pPr>
      <w:r>
        <w:rPr>
          <w:rFonts w:hint="eastAsia" w:cs="楷体_GB2312"/>
          <w:b w:val="0"/>
          <w:bCs w:val="0"/>
          <w:color w:val="auto"/>
          <w:sz w:val="32"/>
          <w:szCs w:val="32"/>
          <w:lang w:eastAsia="zh-CN"/>
        </w:rPr>
        <w:t>（四）</w:t>
      </w:r>
      <w:r>
        <w:rPr>
          <w:rFonts w:ascii="Times New Roman" w:hAnsi="Times New Roman" w:eastAsia="楷体_GB2312" w:cs="楷体_GB2312"/>
          <w:b w:val="0"/>
          <w:bCs w:val="0"/>
          <w:color w:val="auto"/>
          <w:sz w:val="32"/>
          <w:szCs w:val="32"/>
        </w:rPr>
        <w:t>工作经历</w:t>
      </w:r>
    </w:p>
    <w:p w14:paraId="52B05AA0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eastAsia="仿宋_GB2312"/>
          <w:b w:val="0"/>
          <w:bCs w:val="0"/>
          <w:color w:val="auto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color w:val="auto"/>
          <w:sz w:val="32"/>
          <w:szCs w:val="32"/>
        </w:rPr>
        <w:t>具有</w:t>
      </w: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</w:rPr>
        <w:t>法律、合同、审计、合规、风控、工程项目管理、财务、人力资源</w:t>
      </w:r>
      <w:r>
        <w:rPr>
          <w:rFonts w:hint="eastAsia" w:cs="仿宋_GB2312"/>
          <w:b w:val="0"/>
          <w:bCs w:val="0"/>
          <w:color w:val="auto"/>
          <w:sz w:val="32"/>
          <w:szCs w:val="32"/>
          <w:lang w:val="en-US" w:eastAsia="zh-CN"/>
        </w:rPr>
        <w:t>等</w:t>
      </w:r>
      <w:r>
        <w:rPr>
          <w:rFonts w:ascii="Times New Roman" w:hAnsi="Times New Roman" w:eastAsia="仿宋_GB2312" w:cs="仿宋_GB2312"/>
          <w:b w:val="0"/>
          <w:bCs w:val="0"/>
          <w:color w:val="auto"/>
          <w:sz w:val="32"/>
          <w:szCs w:val="32"/>
        </w:rPr>
        <w:t>相关工作经验，</w:t>
      </w:r>
      <w:r>
        <w:rPr>
          <w:rFonts w:hint="eastAsia" w:cs="仿宋_GB2312"/>
          <w:b w:val="0"/>
          <w:bCs w:val="0"/>
          <w:color w:val="auto"/>
          <w:sz w:val="32"/>
          <w:szCs w:val="32"/>
          <w:lang w:val="en-US" w:eastAsia="zh-CN"/>
        </w:rPr>
        <w:t>具有</w:t>
      </w:r>
      <w:r>
        <w:rPr>
          <w:rFonts w:ascii="Times New Roman" w:hAnsi="Times New Roman" w:eastAsia="仿宋_GB2312" w:cs="仿宋_GB2312"/>
          <w:b w:val="0"/>
          <w:bCs w:val="0"/>
          <w:color w:val="auto"/>
          <w:sz w:val="32"/>
          <w:szCs w:val="32"/>
        </w:rPr>
        <w:t>海外工程项目驻场经历</w:t>
      </w:r>
      <w:r>
        <w:rPr>
          <w:rFonts w:hint="eastAsia" w:cs="仿宋_GB2312"/>
          <w:b w:val="0"/>
          <w:bCs w:val="0"/>
          <w:color w:val="auto"/>
          <w:sz w:val="32"/>
          <w:szCs w:val="32"/>
          <w:lang w:val="en-US" w:eastAsia="zh-CN"/>
        </w:rPr>
        <w:t>优先</w:t>
      </w:r>
      <w:r>
        <w:rPr>
          <w:rFonts w:ascii="Times New Roman" w:hAnsi="Times New Roman" w:eastAsia="仿宋_GB2312" w:cs="仿宋_GB2312"/>
          <w:b w:val="0"/>
          <w:bCs w:val="0"/>
          <w:color w:val="auto"/>
          <w:sz w:val="32"/>
          <w:szCs w:val="32"/>
        </w:rPr>
        <w:t>。</w:t>
      </w:r>
    </w:p>
    <w:p w14:paraId="73EAC5A2">
      <w:pPr>
        <w:pStyle w:val="4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left="0" w:leftChars="0" w:firstLine="640"/>
        <w:textAlignment w:val="auto"/>
        <w:rPr>
          <w:rFonts w:hint="eastAsia" w:cs="楷体_GB2312"/>
          <w:b w:val="0"/>
          <w:bCs w:val="0"/>
          <w:sz w:val="32"/>
          <w:szCs w:val="32"/>
          <w:lang w:eastAsia="zh-CN"/>
        </w:rPr>
      </w:pPr>
      <w:r>
        <w:rPr>
          <w:rFonts w:hint="eastAsia" w:cs="楷体_GB2312"/>
          <w:b w:val="0"/>
          <w:bCs w:val="0"/>
          <w:sz w:val="32"/>
          <w:szCs w:val="32"/>
          <w:lang w:eastAsia="zh-CN"/>
        </w:rPr>
        <w:t>（五）能力与资质</w:t>
      </w:r>
    </w:p>
    <w:p w14:paraId="28D7787D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具备独立开展国别区域合规体系搭建、投建前前置交易合规审查、区域全覆盖风险排查、标准化合规培训及跨项目突发事件统筹支撑的实务能力。</w:t>
      </w:r>
    </w:p>
    <w:p w14:paraId="411B8F5D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具备系统化统筹协调、分层对接沟通能力，主要面向下属企业、境外项目部合规岗位开展业务指导、监督督办，具备清晰向上汇报、向下督导的沟通逻辑。</w:t>
      </w:r>
    </w:p>
    <w:p w14:paraId="3204FB6F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具备标准化制度文件编制能力，可独立撰写国别合规指南、区域通用风险清单、合同前置审查意见书、区域整体风险排查汇总报告及总部决策支撑材料。</w:t>
      </w:r>
    </w:p>
    <w:p w14:paraId="190C5538">
      <w:pPr>
        <w:pStyle w:val="19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ascii="Times New Roman" w:hAnsi="Times New Roman" w:eastAsia="仿宋_GB2312" w:cs="仿宋_GB2312"/>
          <w:b w:val="0"/>
          <w:bCs w:val="0"/>
          <w:sz w:val="32"/>
          <w:szCs w:val="32"/>
        </w:rPr>
      </w:pPr>
      <w:bookmarkStart w:id="0" w:name="_GoBack"/>
      <w:r>
        <w:rPr>
          <w:rFonts w:ascii="Times New Roman" w:hAnsi="Times New Roman" w:eastAsia="仿宋_GB2312" w:cs="仿宋_GB2312"/>
          <w:b w:val="0"/>
          <w:bCs w:val="0"/>
          <w:color w:val="auto"/>
          <w:sz w:val="32"/>
          <w:szCs w:val="32"/>
        </w:rPr>
        <w:t>英语可作为书面审查、线上跨境沟通工作语言</w:t>
      </w:r>
      <w:r>
        <w:rPr>
          <w:rFonts w:hint="eastAsia" w:cs="仿宋_GB2312"/>
          <w:b w:val="0"/>
          <w:bCs w:val="0"/>
          <w:color w:val="auto"/>
          <w:sz w:val="32"/>
          <w:szCs w:val="32"/>
          <w:lang w:val="en-US" w:eastAsia="zh-CN"/>
        </w:rPr>
        <w:t>者优先</w:t>
      </w:r>
      <w:r>
        <w:rPr>
          <w:rFonts w:ascii="Times New Roman" w:hAnsi="Times New Roman" w:eastAsia="仿宋_GB2312" w:cs="仿宋_GB2312"/>
          <w:b w:val="0"/>
          <w:bCs w:val="0"/>
          <w:color w:val="auto"/>
          <w:sz w:val="32"/>
          <w:szCs w:val="32"/>
        </w:rPr>
        <w:t>；掌</w:t>
      </w:r>
      <w:bookmarkEnd w:id="0"/>
      <w:r>
        <w:rPr>
          <w:rFonts w:ascii="Times New Roman" w:hAnsi="Times New Roman" w:eastAsia="仿宋_GB2312" w:cs="仿宋_GB2312"/>
          <w:b w:val="0"/>
          <w:bCs w:val="0"/>
          <w:sz w:val="32"/>
          <w:szCs w:val="32"/>
        </w:rPr>
        <w:t>握多门外语者优先。</w:t>
      </w:r>
    </w:p>
    <w:sectPr>
      <w:headerReference r:id="rId5" w:type="default"/>
      <w:footerReference r:id="rId7" w:type="default"/>
      <w:headerReference r:id="rId6" w:type="even"/>
      <w:footerReference r:id="rId8" w:type="even"/>
      <w:pgSz w:w="12240" w:h="15840"/>
      <w:pgMar w:top="1417" w:right="1474" w:bottom="1417" w:left="1587" w:header="851" w:footer="1417" w:gutter="0"/>
      <w:pgNumType w:fmt="decimal" w:start="1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BE5FC4">
    <w:pPr>
      <w:pStyle w:val="24"/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250064">
                          <w:pPr>
                            <w:pStyle w:val="2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61250064">
                    <w:pPr>
                      <w:pStyle w:val="2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3E2788">
    <w:pPr>
      <w:pStyle w:val="24"/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5092E9">
                          <w:pPr>
                            <w:pStyle w:val="24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GpUrO1gAAAAYBAAAPAAAAAAAAAAEAIAAAACIAAABkcnMvZG93bnJl&#10;di54bWxQSwECFAAUAAAACACHTuJAc3nUujgCAABrBAAADgAAAAAAAAABACAAAAAl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465092E9">
                    <w:pPr>
                      <w:pStyle w:val="24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2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658865">
    <w:pPr>
      <w:pStyle w:val="2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F54DE8">
    <w:pPr>
      <w:pStyle w:val="25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evenAndOddHeaders w:val="1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2300363"/>
    <w:rsid w:val="03210244"/>
    <w:rsid w:val="095B5601"/>
    <w:rsid w:val="106F4A9C"/>
    <w:rsid w:val="16E367D2"/>
    <w:rsid w:val="1F8D4711"/>
    <w:rsid w:val="215D1FEC"/>
    <w:rsid w:val="48BB56BD"/>
    <w:rsid w:val="597621A7"/>
    <w:rsid w:val="63E6042F"/>
    <w:rsid w:val="67DB6198"/>
    <w:rsid w:val="6AD35CEF"/>
    <w:rsid w:val="71E5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officialmode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微软雅黑" w:hAnsi="微软雅黑" w:eastAsia="微软雅黑" w:cstheme="minorBidi"/>
      <w:sz w:val="21"/>
      <w:szCs w:val="22"/>
      <w:lang w:val="en-US" w:eastAsia="en-US" w:bidi="ar-SA"/>
    </w:rPr>
  </w:style>
  <w:style w:type="paragraph" w:styleId="3">
    <w:name w:val="heading 1"/>
    <w:next w:val="1"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0"/>
    </w:pPr>
    <w:rPr>
      <w:rFonts w:ascii="黑体" w:hAnsi="黑体" w:eastAsia="黑体" w:cs="黑体"/>
      <w:kern w:val="44"/>
      <w:sz w:val="32"/>
      <w:szCs w:val="32"/>
    </w:rPr>
  </w:style>
  <w:style w:type="paragraph" w:styleId="4">
    <w:name w:val="heading 2"/>
    <w:next w:val="1"/>
    <w:link w:val="164"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1"/>
    </w:pPr>
    <w:rPr>
      <w:rFonts w:ascii="Times New Roman" w:hAnsi="Times New Roman" w:eastAsia="楷体_GB2312" w:cs="楷体_GB2312"/>
      <w:sz w:val="32"/>
      <w:szCs w:val="32"/>
    </w:rPr>
  </w:style>
  <w:style w:type="paragraph" w:styleId="5">
    <w:name w:val="heading 3"/>
    <w:next w:val="1"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paragraph" w:styleId="6">
    <w:name w:val="heading 4"/>
    <w:next w:val="1"/>
    <w:semiHidden/>
    <w:unhideWhenUsed/>
    <w:qFormat/>
    <w:uiPriority w:val="9"/>
    <w:pPr>
      <w:keepNext/>
      <w:keepLines/>
      <w:spacing w:beforeLines="0" w:beforeAutospacing="0" w:afterLines="0" w:afterAutospacing="0" w:line="560" w:lineRule="exact"/>
      <w:ind w:firstLine="894" w:firstLineChars="200"/>
      <w:outlineLvl w:val="3"/>
    </w:pPr>
    <w:rPr>
      <w:rFonts w:ascii="Times New Roman" w:hAnsi="Times New Roman" w:eastAsia="仿宋_GB2312" w:cs="仿宋_GB2312"/>
      <w:sz w:val="32"/>
      <w:szCs w:val="32"/>
    </w:rPr>
  </w:style>
  <w:style w:type="paragraph" w:styleId="7">
    <w:name w:val="heading 5"/>
    <w:next w:val="1"/>
    <w:semiHidden/>
    <w:unhideWhenUsed/>
    <w:qFormat/>
    <w:uiPriority w:val="9"/>
    <w:pPr>
      <w:spacing w:line="560" w:lineRule="exact"/>
      <w:ind w:firstLine="894" w:firstLineChars="200"/>
      <w:outlineLvl w:val="4"/>
    </w:pPr>
    <w:rPr>
      <w:rFonts w:ascii="Times New Roman" w:hAnsi="Times New Roman" w:eastAsia="仿宋_GB2312" w:cs="仿宋_GB2312"/>
      <w:sz w:val="32"/>
      <w:szCs w:val="32"/>
    </w:rPr>
  </w:style>
  <w:style w:type="paragraph" w:styleId="8">
    <w:name w:val="heading 6"/>
    <w:next w:val="1"/>
    <w:semiHidden/>
    <w:unhideWhenUsed/>
    <w:qFormat/>
    <w:uiPriority w:val="9"/>
    <w:pPr>
      <w:spacing w:line="560" w:lineRule="exact"/>
      <w:ind w:firstLine="894" w:firstLineChars="200"/>
      <w:outlineLvl w:val="5"/>
    </w:pPr>
    <w:rPr>
      <w:rFonts w:ascii="Times New Roman" w:hAnsi="Times New Roman" w:eastAsia="仿宋_GB2312" w:cs="仿宋_GB2312"/>
      <w:sz w:val="32"/>
      <w:szCs w:val="32"/>
    </w:rPr>
  </w:style>
  <w:style w:type="paragraph" w:styleId="9">
    <w:name w:val="heading 7"/>
    <w:next w:val="1"/>
    <w:semiHidden/>
    <w:unhideWhenUsed/>
    <w:qFormat/>
    <w:uiPriority w:val="9"/>
    <w:pPr>
      <w:spacing w:line="560" w:lineRule="exact"/>
      <w:ind w:firstLine="894" w:firstLineChars="200"/>
      <w:outlineLvl w:val="6"/>
    </w:pPr>
    <w:rPr>
      <w:rFonts w:ascii="Times New Roman" w:hAnsi="Times New Roman" w:eastAsia="仿宋_GB2312" w:cs="仿宋_GB2312"/>
      <w:sz w:val="32"/>
      <w:szCs w:val="32"/>
    </w:rPr>
  </w:style>
  <w:style w:type="paragraph" w:styleId="10">
    <w:name w:val="heading 8"/>
    <w:next w:val="1"/>
    <w:semiHidden/>
    <w:unhideWhenUsed/>
    <w:qFormat/>
    <w:uiPriority w:val="9"/>
    <w:pPr>
      <w:spacing w:line="560" w:lineRule="exact"/>
      <w:ind w:firstLine="894" w:firstLineChars="200"/>
      <w:outlineLvl w:val="7"/>
    </w:pPr>
    <w:rPr>
      <w:rFonts w:ascii="Times New Roman" w:hAnsi="Times New Roman" w:eastAsia="仿宋_GB2312" w:cs="仿宋_GB2312"/>
      <w:sz w:val="32"/>
      <w:szCs w:val="32"/>
    </w:rPr>
  </w:style>
  <w:style w:type="paragraph" w:styleId="11">
    <w:name w:val="heading 9"/>
    <w:next w:val="1"/>
    <w:semiHidden/>
    <w:unhideWhenUsed/>
    <w:qFormat/>
    <w:uiPriority w:val="9"/>
    <w:pPr>
      <w:spacing w:line="560" w:lineRule="exact"/>
      <w:ind w:firstLine="894" w:firstLineChars="200"/>
      <w:outlineLvl w:val="8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link w:val="144"/>
    <w:unhideWhenUsed/>
    <w:qFormat/>
    <w:uiPriority w:val="99"/>
    <w:pPr>
      <w:spacing w:line="560" w:lineRule="exact"/>
      <w:ind w:firstLine="630" w:firstLineChars="200"/>
      <w:jc w:val="both"/>
    </w:pPr>
    <w:rPr>
      <w:rFonts w:ascii="Times New Roman" w:hAnsi="Times New Roman" w:eastAsia="仿宋_GB2312" w:cs="仿宋_GB2312"/>
      <w:spacing w:val="-6"/>
      <w:sz w:val="32"/>
      <w:szCs w:val="32"/>
    </w:r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next w:val="1"/>
    <w:qFormat/>
    <w:uiPriority w:val="11"/>
    <w:pPr>
      <w:spacing w:beforeLines="0" w:beforeAutospacing="0" w:afterLines="0" w:afterAutospacing="0" w:line="720" w:lineRule="exact"/>
      <w:jc w:val="center"/>
      <w:outlineLvl w:val="9"/>
    </w:pPr>
    <w:rPr>
      <w:rFonts w:ascii="Times New Roman" w:hAnsi="Times New Roman" w:eastAsia="仿宋_GB2312" w:cs="仿宋_GB2312"/>
      <w:kern w:val="28"/>
      <w:sz w:val="32"/>
      <w:szCs w:val="32"/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next w:val="1"/>
    <w:link w:val="141"/>
    <w:qFormat/>
    <w:uiPriority w:val="10"/>
    <w:pPr>
      <w:spacing w:line="720" w:lineRule="exact"/>
      <w:jc w:val="center"/>
      <w:outlineLvl w:val="9"/>
    </w:pPr>
    <w:rPr>
      <w:rFonts w:ascii="方正小标宋简体" w:hAnsi="方正小标宋简体" w:eastAsia="方正小标宋简体" w:cs="方正小标宋简体"/>
      <w:sz w:val="44"/>
      <w:szCs w:val="44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link w:val="31"/>
    <w:qFormat/>
    <w:uiPriority w:val="10"/>
    <w:rPr>
      <w:rFonts w:ascii="微软雅黑" w:hAnsi="微软雅黑" w:eastAsia="微软雅黑" w:cs="微软雅黑"/>
      <w:sz w:val="44"/>
      <w:szCs w:val="44"/>
      <w:lang w:val="zh-CN"/>
    </w:rPr>
  </w:style>
  <w:style w:type="character" w:customStyle="1" w:styleId="142">
    <w:name w:val="Subtitle Char"/>
    <w:basedOn w:val="13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link w:val="19"/>
    <w:qFormat/>
    <w:uiPriority w:val="99"/>
    <w:rPr>
      <w:rFonts w:ascii="Times New Roman" w:hAnsi="Times New Roman" w:eastAsia="ＭＳ 明朝" w:cs="ＭＳ 明朝"/>
      <w:spacing w:val="-6"/>
      <w:sz w:val="32"/>
      <w:szCs w:val="32"/>
    </w:rPr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character" w:customStyle="1" w:styleId="164">
    <w:name w:val="标题 2 Char"/>
    <w:link w:val="4"/>
    <w:qFormat/>
    <w:uiPriority w:val="9"/>
    <w:rPr>
      <w:rFonts w:ascii="Times New Roman" w:hAnsi="Times New Roman" w:eastAsia="楷体_GB2312" w:cs="楷体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2625</Words>
  <Characters>2648</Characters>
  <Lines>0</Lines>
  <Paragraphs>0</Paragraphs>
  <TotalTime>104</TotalTime>
  <ScaleCrop>false</ScaleCrop>
  <LinksUpToDate>false</LinksUpToDate>
  <CharactersWithSpaces>2649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王好为</cp:lastModifiedBy>
  <dcterms:modified xsi:type="dcterms:W3CDTF">2026-08-12T00:34:58Z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eyJoZGlkIjoiZWVhN2I1Y2U3NTkzMGVkMWIxNDY0NmY4Yjc1NmRjMDIiLCJ1c2VySWQiOiI3MzA5Mjc4ODgifQ==</vt:lpwstr>
  </property>
  <property fmtid="{D5CDD505-2E9C-101B-9397-08002B2CF9AE}" pid="3" name="KSOProductBuildVer">
    <vt:lpwstr>2052-12.1.0.20784</vt:lpwstr>
  </property>
  <property fmtid="{D5CDD505-2E9C-101B-9397-08002B2CF9AE}" pid="4" name="ICV">
    <vt:lpwstr>2477F13264EB4213A52C67A806C38195_13</vt:lpwstr>
  </property>
</Properties>
</file>